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FF18F8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FF18F8">
        <w:rPr>
          <w:rFonts w:asciiTheme="minorHAnsi" w:hAnsiTheme="minorHAnsi" w:cstheme="minorHAnsi"/>
          <w:b/>
          <w:lang w:val="en-GB"/>
        </w:rPr>
        <w:t>COURSE DESCRIPTION</w:t>
      </w:r>
      <w:r w:rsidR="004F690E" w:rsidRPr="00FF18F8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FF18F8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FF18F8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FF18F8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FF18F8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FF18F8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FF18F8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FF18F8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FF18F8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FF18F8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FF18F8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FF18F8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C912C9D" w:rsidR="008A34EB" w:rsidRPr="00FF18F8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FF18F8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C604C" w:rsidRPr="00FF18F8">
              <w:rPr>
                <w:rFonts w:asciiTheme="minorHAnsi" w:hAnsiTheme="minorHAnsi" w:cstheme="minorBidi"/>
                <w:lang w:val="en-GB"/>
              </w:rPr>
              <w:t>8SEH/ABZPSA/2</w:t>
            </w:r>
            <w:r w:rsidR="00CB1546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EEEB686" w:rsidR="008A34EB" w:rsidRPr="00FF18F8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A81890" w:rsidRPr="00FF18F8">
              <w:rPr>
                <w:rFonts w:asciiTheme="minorHAnsi" w:hAnsiTheme="minorHAnsi" w:cstheme="minorHAnsi"/>
                <w:lang w:val="en-GB"/>
              </w:rPr>
              <w:t>Professional and social andragogy</w:t>
            </w:r>
          </w:p>
        </w:tc>
      </w:tr>
      <w:tr w:rsidR="008A34EB" w:rsidRPr="00FF18F8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FF18F8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5046D603" w:rsidR="00BB7251" w:rsidRPr="00FF18F8" w:rsidRDefault="004C4E9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FF18F8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 w:rsidRPr="00FF18F8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FF18F8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31FB0D4E" w:rsidR="00197C4C" w:rsidRPr="00FF18F8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FF18F8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FF18F8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FF18F8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FF18F8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 w:rsidRPr="00FF18F8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FF18F8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FF18F8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172EB23" w:rsidR="008A34EB" w:rsidRPr="00FF18F8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40923" w:rsidRPr="00FF18F8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FF18F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F18F8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FF18F8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FF18F8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 w:rsidRPr="00FF18F8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FF18F8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FF18F8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 w:rsidRPr="00FF18F8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FF18F8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FF18F8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63FBC9C9" w:rsidR="001F1033" w:rsidRPr="00FF18F8" w:rsidRDefault="00166C59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</w:t>
            </w:r>
            <w:r w:rsidR="001F1033" w:rsidRPr="00FF18F8">
              <w:rPr>
                <w:rFonts w:asciiTheme="minorHAnsi" w:hAnsiTheme="minorHAnsi" w:cstheme="minorHAnsi"/>
                <w:lang w:val="en-GB"/>
              </w:rPr>
              <w:t xml:space="preserve">he </w:t>
            </w:r>
            <w:r w:rsidRPr="00FF18F8">
              <w:rPr>
                <w:rFonts w:asciiTheme="minorHAnsi" w:hAnsiTheme="minorHAnsi" w:cstheme="minorHAnsi"/>
                <w:lang w:val="en-GB"/>
              </w:rPr>
              <w:t>subject</w:t>
            </w:r>
            <w:r w:rsidR="001F1033" w:rsidRPr="00FF18F8">
              <w:rPr>
                <w:rFonts w:asciiTheme="minorHAnsi" w:hAnsiTheme="minorHAnsi" w:cstheme="minorHAnsi"/>
                <w:lang w:val="en-GB"/>
              </w:rPr>
              <w:t xml:space="preserve"> is</w:t>
            </w:r>
            <w:r w:rsidR="00B74455" w:rsidRPr="00FF18F8">
              <w:rPr>
                <w:rFonts w:asciiTheme="minorHAnsi" w:hAnsiTheme="minorHAnsi" w:cstheme="minorHAnsi"/>
                <w:lang w:val="en-GB"/>
              </w:rPr>
              <w:t xml:space="preserve"> finished</w:t>
            </w:r>
            <w:r w:rsidR="001F1033" w:rsidRPr="00FF18F8">
              <w:rPr>
                <w:rFonts w:asciiTheme="minorHAnsi" w:hAnsiTheme="minorHAnsi" w:cstheme="minorHAnsi"/>
                <w:lang w:val="en-GB"/>
              </w:rPr>
              <w:t xml:space="preserve"> by </w:t>
            </w:r>
            <w:r w:rsidR="00432D94" w:rsidRPr="00FF18F8">
              <w:rPr>
                <w:rFonts w:asciiTheme="minorHAnsi" w:hAnsiTheme="minorHAnsi" w:cstheme="minorHAnsi"/>
                <w:lang w:val="en-GB"/>
              </w:rPr>
              <w:t>the exam.</w:t>
            </w:r>
          </w:p>
          <w:p w14:paraId="4F18026B" w14:textId="77777777" w:rsidR="00F64D86" w:rsidRPr="00F64D86" w:rsidRDefault="00F64D86" w:rsidP="00F64D8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F64D86">
              <w:rPr>
                <w:rFonts w:asciiTheme="minorHAnsi" w:hAnsiTheme="minorHAnsi" w:cstheme="minorHAnsi"/>
                <w:lang w:val="en-GB"/>
              </w:rPr>
              <w:t>By the end of the teaching period of the semester, the student is required to fulfil the following conditions in order to obtain credits in the regular examination term:</w:t>
            </w:r>
          </w:p>
          <w:p w14:paraId="42C12289" w14:textId="5F200B67" w:rsidR="00432D94" w:rsidRPr="00FF18F8" w:rsidRDefault="00432D94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actively participate in discussions related to the topics covered,</w:t>
            </w:r>
          </w:p>
          <w:p w14:paraId="5248A772" w14:textId="77777777" w:rsidR="00B23547" w:rsidRPr="00FF18F8" w:rsidRDefault="00B23547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prepare, present a selected topic, and lead a discussion at a seminar,</w:t>
            </w:r>
          </w:p>
          <w:p w14:paraId="7988AB05" w14:textId="11B11A3F" w:rsidR="00432D94" w:rsidRPr="00FF18F8" w:rsidRDefault="00432D94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submit the completed presentation by the end of the semester.</w:t>
            </w:r>
          </w:p>
          <w:p w14:paraId="110FE681" w14:textId="77777777" w:rsidR="00873EC7" w:rsidRPr="00FF18F8" w:rsidRDefault="00873EC7" w:rsidP="00873EC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oral colloquium examination. Only students who have fulfilled the requirements of continuous assessment may sit for the examination. Continuous assessment constitutes 30% of the overall course assessment (100%).</w:t>
            </w:r>
          </w:p>
          <w:p w14:paraId="442A6BC7" w14:textId="77777777" w:rsidR="00B23547" w:rsidRPr="00FF18F8" w:rsidRDefault="00B23547" w:rsidP="00B235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In compliance with the Study Regulations of the University of Presov:</w:t>
            </w:r>
          </w:p>
          <w:p w14:paraId="4217892F" w14:textId="77777777" w:rsidR="00F903CF" w:rsidRPr="00FF18F8" w:rsidRDefault="00F903CF" w:rsidP="00F903C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is considered a failure to meet the requirements for successful completion of the course),</w:t>
            </w:r>
          </w:p>
          <w:p w14:paraId="7AA9C348" w14:textId="4F9881D3" w:rsidR="00830BDD" w:rsidRPr="00FF18F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 xml:space="preserve">during the exam period, the student is entitled to </w:t>
            </w:r>
            <w:r w:rsidR="003C6CCC" w:rsidRPr="00FF18F8">
              <w:rPr>
                <w:rFonts w:asciiTheme="minorHAnsi" w:hAnsiTheme="minorHAnsi" w:cstheme="minorHAnsi"/>
                <w:lang w:val="en-GB"/>
              </w:rPr>
              <w:t>one regular examination term and two resit attempts,</w:t>
            </w:r>
          </w:p>
          <w:p w14:paraId="5DB5912C" w14:textId="77777777" w:rsidR="00830BDD" w:rsidRPr="00FF18F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FF18F8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FF18F8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FF18F8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FF18F8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F18F8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07DB7CC6" w14:textId="77777777" w:rsidR="00B23547" w:rsidRPr="00FF18F8" w:rsidRDefault="00B23547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If successfully completed the course, the student will acquire the following:</w:t>
            </w:r>
          </w:p>
          <w:p w14:paraId="73BD0AE6" w14:textId="2EC99EBD" w:rsidR="005A6ED3" w:rsidRPr="00FF18F8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F18F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107A514" w14:textId="3E485EC4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define key concepts of professional and social andragogy,</w:t>
            </w:r>
          </w:p>
          <w:p w14:paraId="0D54ABC3" w14:textId="34BC930A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explain the specifics of adult learning and theories of adult learning and education,</w:t>
            </w:r>
          </w:p>
          <w:p w14:paraId="044E13DD" w14:textId="5C220AA6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describe the specifics of types of adult education and target groups of adults in professional and social andragogy,</w:t>
            </w:r>
          </w:p>
          <w:p w14:paraId="425CA55B" w14:textId="001FC1E0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define the concepts of competence, professional competence, professional and key competences,</w:t>
            </w:r>
          </w:p>
          <w:p w14:paraId="3BFF5449" w14:textId="77777777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lastRenderedPageBreak/>
              <w:t>describe socialization factors, aspects and phenomena of working life and explain their role in the professional development and career advancement of security forces employees,</w:t>
            </w:r>
          </w:p>
          <w:p w14:paraId="3391F441" w14:textId="77777777" w:rsidR="00484565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describe the goals and areas of the organization's care for employees,</w:t>
            </w:r>
          </w:p>
          <w:p w14:paraId="15F22600" w14:textId="4315BA1E" w:rsidR="00F24F39" w:rsidRPr="00FF18F8" w:rsidRDefault="00484565" w:rsidP="0048456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describe and explain the resocialization and preventive aspects of the education of convicts.</w:t>
            </w:r>
          </w:p>
          <w:p w14:paraId="6B7F95FC" w14:textId="7884B3C9" w:rsidR="005A6ED3" w:rsidRPr="00FF18F8" w:rsidRDefault="00CB72D8" w:rsidP="00F24F39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F18F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5F17AD0" w14:textId="39D80A9E" w:rsidR="00484565" w:rsidRPr="00FF18F8" w:rsidRDefault="00484565" w:rsidP="0048456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know the sequence of activities in the systematic approach to employee training in the strategic development of human resources,</w:t>
            </w:r>
          </w:p>
          <w:p w14:paraId="7CBEE5B2" w14:textId="44C2AB2F" w:rsidR="001F7FAD" w:rsidRPr="00FF18F8" w:rsidRDefault="00484565" w:rsidP="0048456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search for legislation according to sequence from general to specific (e.g., constitution, law, decree) and according to type, area, and target group of adult education (e.g., education of convicts).</w:t>
            </w:r>
          </w:p>
          <w:p w14:paraId="6D34574B" w14:textId="64A08298" w:rsidR="005A6ED3" w:rsidRPr="00FF18F8" w:rsidRDefault="00CB72D8" w:rsidP="001F7FAD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F18F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285BCA74" w14:textId="19F5D0F3" w:rsidR="00484565" w:rsidRPr="00FF18F8" w:rsidRDefault="00484565" w:rsidP="0048456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apply the acquired theoretical knowledge and skills in planning and managing the professional development and career advancement of a security force employee,</w:t>
            </w:r>
          </w:p>
          <w:p w14:paraId="0E8E6191" w14:textId="5D1C1A7B" w:rsidR="00306FED" w:rsidRPr="00FF18F8" w:rsidRDefault="00484565" w:rsidP="0048456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lang w:val="en-GB"/>
              </w:rPr>
              <w:t>search, process and analyze scientifically verified information in relevant information sources.</w:t>
            </w:r>
          </w:p>
        </w:tc>
      </w:tr>
      <w:tr w:rsidR="008A34EB" w:rsidRPr="00FF18F8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FF18F8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353BB216" w14:textId="77777777" w:rsidR="00484565" w:rsidRPr="00FF18F8" w:rsidRDefault="00484565" w:rsidP="0048456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Lecture topics:</w:t>
            </w:r>
          </w:p>
          <w:p w14:paraId="25C4F64D" w14:textId="77777777" w:rsidR="008B09F0" w:rsidRPr="00FF18F8" w:rsidRDefault="008B09F0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Professional and social andragogy in the system of andragogy scientific disciplines – subject, interdisciplinary character, key concepts (adulthood, intentional socialization, lifelong education and learning formally, non-formally and informally, adult education, further professional education, social and educational care).</w:t>
            </w:r>
          </w:p>
          <w:p w14:paraId="1BAB56C8" w14:textId="6C30C365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Types of adult education and target groups of adults in professional and social andragogy.</w:t>
            </w:r>
          </w:p>
          <w:p w14:paraId="172CF333" w14:textId="672CFD6A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Legislative framework for adult education in the Slovak Republic with a focus on types of education and target groups of adults in professional and social andragogy.</w:t>
            </w:r>
          </w:p>
          <w:p w14:paraId="327ABC60" w14:textId="37C15426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Basic theories of adult education and learning (Knowles' concept of self-directed learning, Kolb's model of experiential learning).</w:t>
            </w:r>
          </w:p>
          <w:p w14:paraId="29998857" w14:textId="5BB84820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Emancipatory and critical theories of adult education and learning (P. Freire, J. Mezirow, S. D. Brookfield).</w:t>
            </w:r>
          </w:p>
          <w:p w14:paraId="021046CE" w14:textId="5A92E0BC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Socialization factors in working life (work, employment, occupation), professional career, and professional development.</w:t>
            </w:r>
          </w:p>
          <w:p w14:paraId="4578EE1B" w14:textId="3D21B7CB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Competence-based approach to continuing professional education, professional and key competencies.</w:t>
            </w:r>
          </w:p>
          <w:p w14:paraId="4B534E2A" w14:textId="4FDB8CA0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Human resource development in strategic human resource management of an organization.</w:t>
            </w:r>
          </w:p>
          <w:p w14:paraId="55EA6F42" w14:textId="2C598BA3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Care and social development of the organization.</w:t>
            </w:r>
          </w:p>
          <w:p w14:paraId="1DBB1431" w14:textId="2130CE5B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Social deviance and resocialization, adult re-education. Theories of social deviance.</w:t>
            </w:r>
          </w:p>
          <w:p w14:paraId="2D024DC8" w14:textId="2B33CF04" w:rsidR="00484565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Resocialization and preventive aspects of education for convicts.</w:t>
            </w:r>
          </w:p>
          <w:p w14:paraId="6E55C5DE" w14:textId="77777777" w:rsidR="00A104FA" w:rsidRPr="00FF18F8" w:rsidRDefault="00484565" w:rsidP="00944645">
            <w:pPr>
              <w:pStyle w:val="Odsekzoznamu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Education of convicts in judicial and school legislation.</w:t>
            </w:r>
          </w:p>
          <w:p w14:paraId="252CBD84" w14:textId="77777777" w:rsidR="008B09F0" w:rsidRPr="00FF18F8" w:rsidRDefault="008B09F0" w:rsidP="008B09F0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Seminar outline (presentation of selected topics and discussion):</w:t>
            </w:r>
          </w:p>
          <w:p w14:paraId="16A22E86" w14:textId="77777777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The developmental period of adulthood and the ability of adults to learn.</w:t>
            </w:r>
          </w:p>
          <w:p w14:paraId="533AE9C8" w14:textId="56ABC49A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The stratification system, employment status, and education in adulthood.</w:t>
            </w:r>
          </w:p>
          <w:p w14:paraId="16278403" w14:textId="5ED2A560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Generational differences in the workplace.</w:t>
            </w:r>
          </w:p>
          <w:p w14:paraId="05001F37" w14:textId="05E6ECAC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Employee turnover and employee loyalty.</w:t>
            </w:r>
          </w:p>
          <w:p w14:paraId="70BA3654" w14:textId="725403A2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Burnout and work-life balance.</w:t>
            </w:r>
          </w:p>
          <w:p w14:paraId="32C31AF2" w14:textId="61CFEC8F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lastRenderedPageBreak/>
              <w:t>Family cultural capital and lifelong learning and education.</w:t>
            </w:r>
          </w:p>
          <w:p w14:paraId="70D467B4" w14:textId="77777777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Professional development of Police Force employees.</w:t>
            </w:r>
          </w:p>
          <w:p w14:paraId="4EE080E2" w14:textId="77777777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Professional development of employees of the Prison and Judicial Guard Corps.</w:t>
            </w:r>
          </w:p>
          <w:p w14:paraId="688FA755" w14:textId="743C7850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Employee benefits of the organization.</w:t>
            </w:r>
          </w:p>
          <w:p w14:paraId="6A136130" w14:textId="27E28D8D" w:rsidR="00944645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Prison as an educational environment.</w:t>
            </w:r>
          </w:p>
          <w:p w14:paraId="00C24124" w14:textId="51AAD881" w:rsidR="008B09F0" w:rsidRPr="00FF18F8" w:rsidRDefault="00944645" w:rsidP="00944645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Specifics of the actors involved in the education of convicts (teachers and participants in education).</w:t>
            </w:r>
          </w:p>
        </w:tc>
      </w:tr>
      <w:tr w:rsidR="008A34EB" w:rsidRPr="00FF18F8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FF18F8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29849A4B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ARMSTRONG, M., 2005. 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Řízení lidských zdrojů.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Praha: Grada Publishing, a. s. ISBN 80-247-04-0469.</w:t>
            </w:r>
          </w:p>
          <w:p w14:paraId="5F1FEEC9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BARTOŇKOVÁ, H., 2010. 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Firemní vzdelávaní. Strategický přístup ke vzdelávaní pracovníků.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Grada Publishing, a. s. ISBN 78-80-247-2914-5.</w:t>
            </w:r>
          </w:p>
          <w:p w14:paraId="6718700E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BÚZIK, B. a J. SOPÓCI, 2009. 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Základy sociológie.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Bratislava: SPN – Mladé letá. ISBN 978-80-100-1444-6.</w:t>
            </w:r>
          </w:p>
          <w:p w14:paraId="2F8FBD87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FRK, V., 2006.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 Človek v sociálnom systéme organizácie.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Prešov: Akcent Print. ISBN 80-969419-5-X.</w:t>
            </w:r>
          </w:p>
          <w:p w14:paraId="3866A1DC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HATÁR, C., 2012. 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>Sociálna andragogika. Kapitoly z teórie a metodiky sociálno-edukačnej starostlivosti o dospelých.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 Nitra: UKF Nitra. ISBN 978-80-558-0037-0.</w:t>
            </w:r>
          </w:p>
          <w:p w14:paraId="545C4924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LUKÁČOVÁ S. a M. LUKÁČ., 2022. Vzdelávanie vo väzniciach. Prešov: PU v Prešove. ISBN 978-80-555-2949-3. </w:t>
            </w: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Dostupné na: </w:t>
            </w:r>
            <w:hyperlink r:id="rId8" w:history="1">
              <w:r w:rsidRPr="00CB1546">
                <w:rPr>
                  <w:rStyle w:val="Hypertextovprepojenie"/>
                  <w:rFonts w:asciiTheme="minorHAnsi" w:hAnsiTheme="minorHAnsi" w:cstheme="minorHAnsi"/>
                  <w:iCs/>
                  <w:noProof/>
                  <w:color w:val="auto"/>
                  <w:u w:val="none"/>
                  <w:lang w:val="pl-PL"/>
                </w:rPr>
                <w:t>https://elibrary.pulib.sk/elpub/document/isbn/9788055529493</w:t>
              </w:r>
            </w:hyperlink>
          </w:p>
          <w:p w14:paraId="736ECA35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LUKÁČOVÁ, S. a M. LUKÁČ, 2023. </w:t>
            </w:r>
            <w:r w:rsidRPr="00CB1546">
              <w:rPr>
                <w:rFonts w:asciiTheme="minorHAnsi" w:hAnsiTheme="minorHAnsi" w:cstheme="minorHAnsi"/>
                <w:i/>
                <w:noProof/>
                <w:lang w:val="pl-PL"/>
              </w:rPr>
              <w:t>Vzdelávanie vo väzniciach II. Dokončovanie základnej školy očami učiteľov.</w:t>
            </w: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 Prešov: Prešovská univerzita v Prešove vo Vydavateľstve Prešovskej univerzity. ISBN 978-80-555-3210-3.</w:t>
            </w:r>
          </w:p>
          <w:p w14:paraId="7C50552D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>Dostupné na: https://elibrary.pulib.sk/elpub/document/isbn/9788055532103</w:t>
            </w:r>
          </w:p>
          <w:p w14:paraId="30E09E5A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PIROHOVÁ, I., 2015. </w:t>
            </w:r>
            <w:r w:rsidRPr="00CB1546">
              <w:rPr>
                <w:rFonts w:asciiTheme="minorHAnsi" w:hAnsiTheme="minorHAnsi" w:cstheme="minorHAnsi"/>
                <w:i/>
                <w:noProof/>
                <w:lang w:val="pl-PL"/>
              </w:rPr>
              <w:t>Teórie vzdelávania dospelých</w:t>
            </w: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. Prešov: Prešovská univerzita v Prešove, Fakulta humanitných a prírodných vied. ISBN </w:t>
            </w:r>
            <w:r w:rsidRPr="00CB1546">
              <w:rPr>
                <w:rFonts w:asciiTheme="minorHAnsi" w:hAnsiTheme="minorHAnsi" w:cstheme="minorHAnsi"/>
                <w:i/>
                <w:iCs/>
                <w:noProof/>
                <w:lang w:val="pl-PL"/>
              </w:rPr>
              <w:t> 978-80-555-1321-8.</w:t>
            </w:r>
          </w:p>
          <w:p w14:paraId="3427B80A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TEMIAKOVÁ, D., PETROVÁ, G., PANČÍKOVÁ, V. a M. VALICOVÁ, 2020. </w:t>
            </w:r>
            <w:r w:rsidRPr="00CB1546">
              <w:rPr>
                <w:rFonts w:asciiTheme="minorHAnsi" w:hAnsiTheme="minorHAnsi" w:cstheme="minorHAnsi"/>
                <w:i/>
                <w:noProof/>
                <w:lang w:val="pl-PL"/>
              </w:rPr>
              <w:t xml:space="preserve">Profesijná andragogika. </w:t>
            </w:r>
            <w:r w:rsidRPr="00CB1546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Nitra: UKF v Nitre.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ISBN 978-80-558-1561-9.</w:t>
            </w:r>
          </w:p>
          <w:p w14:paraId="72CC2D33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VETEŠKA, J. a M. TURECKIOVÁ, 2008. </w:t>
            </w: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>Kompetence ve vzdělávaní. Praha: Grada Publishing, a. s.. ISBN 80-247-17-708.</w:t>
            </w:r>
          </w:p>
          <w:p w14:paraId="1DEEE801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URBANCOVÁ, H. a P. VRABCOVÁ. 2023. Strategický management lidských zdrojů. </w:t>
            </w:r>
            <w:r w:rsidRPr="00FF18F8">
              <w:rPr>
                <w:rFonts w:asciiTheme="minorHAnsi" w:hAnsiTheme="minorHAnsi" w:cstheme="minorHAnsi"/>
                <w:iCs/>
                <w:noProof/>
                <w:lang w:val="en-GB"/>
              </w:rPr>
              <w:t>Grada Publishing, a. s. ISBN 978-80-271-3675-9.</w:t>
            </w:r>
          </w:p>
          <w:p w14:paraId="7147262F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noProof/>
                <w:lang w:val="en-GB"/>
              </w:rPr>
              <w:t>Zákon č. 292/2024 Z. z. o vzdelávaní dospelých a o zmene a doplnení niektorých zákonov</w:t>
            </w:r>
          </w:p>
          <w:p w14:paraId="5190BF47" w14:textId="77777777" w:rsidR="00C8383A" w:rsidRPr="00FF18F8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FF18F8">
              <w:rPr>
                <w:rFonts w:asciiTheme="minorHAnsi" w:hAnsiTheme="minorHAnsi" w:cstheme="minorHAnsi"/>
                <w:noProof/>
                <w:lang w:val="en-GB"/>
              </w:rPr>
              <w:t>Zákon č. 73/1998 Z. z. o štátnej službe príslušníkov Policajného zboru, Slovenskej informačnej služby, Zboru väzenskej a justičnej stráže Slovenskej republiky a Železničnej polície a o zmene a doplnení niektorých zákonov</w:t>
            </w:r>
          </w:p>
          <w:p w14:paraId="3906D757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pl-PL"/>
              </w:rPr>
            </w:pPr>
            <w:r w:rsidRPr="00CB1546">
              <w:rPr>
                <w:rFonts w:asciiTheme="minorHAnsi" w:hAnsiTheme="minorHAnsi" w:cstheme="minorHAnsi"/>
                <w:noProof/>
                <w:lang w:val="pl-PL"/>
              </w:rPr>
              <w:t>Zákon č. 475/2005 Z. z. o výkone trestu odňatia slobody o a zmene a doplnení niektorých zákonov</w:t>
            </w:r>
          </w:p>
          <w:p w14:paraId="5680088F" w14:textId="77777777" w:rsidR="00C8383A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pl-PL"/>
              </w:rPr>
            </w:pPr>
            <w:r w:rsidRPr="00CB1546">
              <w:rPr>
                <w:rFonts w:asciiTheme="minorHAnsi" w:hAnsiTheme="minorHAnsi" w:cstheme="minorHAnsi"/>
                <w:noProof/>
                <w:lang w:val="pl-PL"/>
              </w:rPr>
              <w:t>Zákon č. 245 Z. z. o výchove a vzdelávaní (školský zákon) a o zmene a doplnení niektorých zákonov</w:t>
            </w:r>
          </w:p>
          <w:p w14:paraId="21D5399D" w14:textId="08D53BA1" w:rsidR="003F7545" w:rsidRPr="00CB1546" w:rsidRDefault="00C8383A" w:rsidP="00C8383A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pl-PL"/>
              </w:rPr>
            </w:pPr>
            <w:r w:rsidRPr="00CB1546">
              <w:rPr>
                <w:rFonts w:asciiTheme="minorHAnsi" w:hAnsiTheme="minorHAnsi" w:cstheme="minorHAnsi"/>
                <w:noProof/>
                <w:lang w:val="pl-PL"/>
              </w:rPr>
              <w:t>Zákon č. 61/2015 Z. z. o odbornom vzdelávaní a príprave a o zmene a doplnení niektorých zákonov</w:t>
            </w:r>
          </w:p>
        </w:tc>
      </w:tr>
      <w:tr w:rsidR="008A34EB" w:rsidRPr="00FF18F8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FF18F8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FF18F8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FF18F8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FF18F8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203AEF9" w:rsidR="00033BFC" w:rsidRPr="00FF18F8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EC7682" w:rsidRPr="00FF18F8">
              <w:rPr>
                <w:rFonts w:asciiTheme="minorHAnsi" w:hAnsiTheme="minorHAnsi" w:cstheme="minorHAnsi"/>
                <w:lang w:val="en-GB"/>
              </w:rPr>
              <w:t>1</w:t>
            </w:r>
            <w:r w:rsidR="00E25FA3" w:rsidRPr="00FF18F8">
              <w:rPr>
                <w:rFonts w:asciiTheme="minorHAnsi" w:hAnsiTheme="minorHAnsi" w:cstheme="minorHAnsi"/>
                <w:lang w:val="en-GB"/>
              </w:rPr>
              <w:t>0</w:t>
            </w:r>
            <w:r w:rsidR="00EC7682" w:rsidRPr="00FF18F8">
              <w:rPr>
                <w:rFonts w:asciiTheme="minorHAnsi" w:hAnsiTheme="minorHAnsi" w:cstheme="minorHAnsi"/>
                <w:lang w:val="en-GB"/>
              </w:rPr>
              <w:t>0</w:t>
            </w:r>
            <w:r w:rsidRPr="00FF18F8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07D070E" w:rsidR="00323256" w:rsidRPr="00FF18F8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F18F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A6960" w:rsidRPr="00FF18F8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FF18F8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31A81D5" w14:textId="4B1F7529" w:rsidR="00DB4949" w:rsidRPr="00FF18F8" w:rsidRDefault="00C8383A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lastRenderedPageBreak/>
              <w:t>processing and presentation of the selected topic</w:t>
            </w:r>
            <w:r w:rsidR="00DB4949" w:rsidRPr="00FF18F8">
              <w:rPr>
                <w:rFonts w:asciiTheme="minorHAnsi" w:hAnsiTheme="minorHAnsi" w:cstheme="minorHAnsi"/>
                <w:lang w:val="en-GB"/>
              </w:rPr>
              <w:t xml:space="preserve">: </w:t>
            </w:r>
            <w:r w:rsidRPr="00FF18F8">
              <w:rPr>
                <w:rFonts w:asciiTheme="minorHAnsi" w:hAnsiTheme="minorHAnsi" w:cstheme="minorHAnsi"/>
                <w:lang w:val="en-GB"/>
              </w:rPr>
              <w:t>3</w:t>
            </w:r>
            <w:r w:rsidR="00DB4949" w:rsidRPr="00FF18F8">
              <w:rPr>
                <w:rFonts w:asciiTheme="minorHAnsi" w:hAnsiTheme="minorHAnsi" w:cstheme="minorHAnsi"/>
                <w:lang w:val="en-GB"/>
              </w:rPr>
              <w:t>0 hours</w:t>
            </w:r>
          </w:p>
          <w:p w14:paraId="4257D0D9" w14:textId="2ADF4355" w:rsidR="00DB4949" w:rsidRPr="00FF18F8" w:rsidRDefault="00C8383A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self-study for the exam: 5</w:t>
            </w:r>
            <w:r w:rsidR="00DB4949" w:rsidRPr="00FF18F8">
              <w:rPr>
                <w:rFonts w:asciiTheme="minorHAnsi" w:hAnsiTheme="minorHAnsi" w:cstheme="minorHAnsi"/>
                <w:lang w:val="en-GB"/>
              </w:rPr>
              <w:t>0 hours</w:t>
            </w:r>
          </w:p>
          <w:p w14:paraId="050C8F06" w14:textId="0ADD2032" w:rsidR="00F91D11" w:rsidRPr="00FF18F8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FF18F8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FF18F8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FF18F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F18F8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FF18F8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FF18F8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FF18F8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FF18F8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FF18F8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FF18F8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F18F8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FF18F8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FF18F8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FF18F8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FF18F8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7F24438" w:rsidR="008A34EB" w:rsidRPr="00FF18F8" w:rsidRDefault="001C6E8D" w:rsidP="00F55FD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F18F8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r w:rsidRPr="00FF18F8">
              <w:rPr>
                <w:rFonts w:asciiTheme="minorHAnsi" w:hAnsiTheme="minorHAnsi" w:cstheme="minorHAnsi"/>
                <w:color w:val="000000" w:themeColor="text1"/>
                <w:lang w:val="en-GB"/>
              </w:rPr>
              <w:t>Ivana Pirohová, PhD.</w:t>
            </w:r>
          </w:p>
        </w:tc>
      </w:tr>
      <w:tr w:rsidR="008A34EB" w:rsidRPr="00FF18F8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FF18F8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FF18F8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FF18F8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FF18F8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FF18F8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FF18F8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F18F8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FF18F8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FF18F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FF18F8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FF18F8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FF18F8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FF18F8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FF18F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FF18F8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FF18F8" w:rsidRDefault="00176E5C">
      <w:pPr>
        <w:rPr>
          <w:lang w:val="en-GB"/>
        </w:rPr>
      </w:pPr>
    </w:p>
    <w:sectPr w:rsidR="00176E5C" w:rsidRPr="00FF18F8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806C" w14:textId="77777777" w:rsidR="00BD66A4" w:rsidRPr="00465D98" w:rsidRDefault="00BD66A4" w:rsidP="00524AED">
      <w:r w:rsidRPr="00465D98">
        <w:separator/>
      </w:r>
    </w:p>
  </w:endnote>
  <w:endnote w:type="continuationSeparator" w:id="0">
    <w:p w14:paraId="1BC5F748" w14:textId="77777777" w:rsidR="00BD66A4" w:rsidRPr="00465D98" w:rsidRDefault="00BD66A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4310" w14:textId="77777777" w:rsidR="00BD66A4" w:rsidRPr="00465D98" w:rsidRDefault="00BD66A4" w:rsidP="00524AED">
      <w:r w:rsidRPr="00465D98">
        <w:separator/>
      </w:r>
    </w:p>
  </w:footnote>
  <w:footnote w:type="continuationSeparator" w:id="0">
    <w:p w14:paraId="59292EF8" w14:textId="77777777" w:rsidR="00BD66A4" w:rsidRPr="00465D98" w:rsidRDefault="00BD66A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707"/>
    <w:multiLevelType w:val="hybridMultilevel"/>
    <w:tmpl w:val="EAD22C6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7006E"/>
    <w:multiLevelType w:val="hybridMultilevel"/>
    <w:tmpl w:val="D45EB986"/>
    <w:lvl w:ilvl="0" w:tplc="51B4D1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D7E6F45"/>
    <w:multiLevelType w:val="hybridMultilevel"/>
    <w:tmpl w:val="A106D4D0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5"/>
  </w:num>
  <w:num w:numId="2" w16cid:durableId="528642603">
    <w:abstractNumId w:val="11"/>
  </w:num>
  <w:num w:numId="3" w16cid:durableId="1651207358">
    <w:abstractNumId w:val="6"/>
  </w:num>
  <w:num w:numId="4" w16cid:durableId="1509562209">
    <w:abstractNumId w:val="14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5"/>
  </w:num>
  <w:num w:numId="8" w16cid:durableId="248125496">
    <w:abstractNumId w:val="13"/>
  </w:num>
  <w:num w:numId="9" w16cid:durableId="1594703497">
    <w:abstractNumId w:val="9"/>
  </w:num>
  <w:num w:numId="10" w16cid:durableId="621688736">
    <w:abstractNumId w:val="7"/>
  </w:num>
  <w:num w:numId="11" w16cid:durableId="1230461022">
    <w:abstractNumId w:val="17"/>
  </w:num>
  <w:num w:numId="12" w16cid:durableId="727220158">
    <w:abstractNumId w:val="10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6"/>
  </w:num>
  <w:num w:numId="16" w16cid:durableId="487944667">
    <w:abstractNumId w:val="8"/>
  </w:num>
  <w:num w:numId="17" w16cid:durableId="117338087">
    <w:abstractNumId w:val="12"/>
  </w:num>
  <w:num w:numId="18" w16cid:durableId="1383015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638C"/>
    <w:rsid w:val="001471ED"/>
    <w:rsid w:val="00156287"/>
    <w:rsid w:val="00160FFD"/>
    <w:rsid w:val="0016301A"/>
    <w:rsid w:val="00166C59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C571E"/>
    <w:rsid w:val="001C6E8D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C6CCC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2D94"/>
    <w:rsid w:val="004352BA"/>
    <w:rsid w:val="00436F42"/>
    <w:rsid w:val="00442373"/>
    <w:rsid w:val="004623BF"/>
    <w:rsid w:val="00464DC4"/>
    <w:rsid w:val="00465D98"/>
    <w:rsid w:val="00466EEB"/>
    <w:rsid w:val="00484565"/>
    <w:rsid w:val="00486A4E"/>
    <w:rsid w:val="00492396"/>
    <w:rsid w:val="004A32BD"/>
    <w:rsid w:val="004C4E94"/>
    <w:rsid w:val="004D14D0"/>
    <w:rsid w:val="004D5C0F"/>
    <w:rsid w:val="004D67F0"/>
    <w:rsid w:val="004E22D0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D5BB3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E6E94"/>
    <w:rsid w:val="007F55BD"/>
    <w:rsid w:val="007F6B91"/>
    <w:rsid w:val="00801B03"/>
    <w:rsid w:val="00811145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73EC7"/>
    <w:rsid w:val="00880B3A"/>
    <w:rsid w:val="008956DA"/>
    <w:rsid w:val="00896023"/>
    <w:rsid w:val="00897E7B"/>
    <w:rsid w:val="008A2962"/>
    <w:rsid w:val="008A34EB"/>
    <w:rsid w:val="008A6D34"/>
    <w:rsid w:val="008B09F0"/>
    <w:rsid w:val="008B475E"/>
    <w:rsid w:val="008C2674"/>
    <w:rsid w:val="008C36D0"/>
    <w:rsid w:val="008C6E49"/>
    <w:rsid w:val="008D4963"/>
    <w:rsid w:val="008D7534"/>
    <w:rsid w:val="008E549C"/>
    <w:rsid w:val="008E5DA8"/>
    <w:rsid w:val="008F3194"/>
    <w:rsid w:val="008F3C00"/>
    <w:rsid w:val="00920F9D"/>
    <w:rsid w:val="00927E0A"/>
    <w:rsid w:val="00936B1C"/>
    <w:rsid w:val="00942D36"/>
    <w:rsid w:val="00944645"/>
    <w:rsid w:val="00951BCE"/>
    <w:rsid w:val="00965940"/>
    <w:rsid w:val="00970201"/>
    <w:rsid w:val="00973B7B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0F0D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AF3A31"/>
    <w:rsid w:val="00B00B1B"/>
    <w:rsid w:val="00B071A8"/>
    <w:rsid w:val="00B13EEA"/>
    <w:rsid w:val="00B23547"/>
    <w:rsid w:val="00B24078"/>
    <w:rsid w:val="00B27960"/>
    <w:rsid w:val="00B528E7"/>
    <w:rsid w:val="00B64928"/>
    <w:rsid w:val="00B6638F"/>
    <w:rsid w:val="00B74455"/>
    <w:rsid w:val="00B75448"/>
    <w:rsid w:val="00B779E2"/>
    <w:rsid w:val="00B81B7B"/>
    <w:rsid w:val="00BB7251"/>
    <w:rsid w:val="00BB7400"/>
    <w:rsid w:val="00BC79A5"/>
    <w:rsid w:val="00BD0DC4"/>
    <w:rsid w:val="00BD49B6"/>
    <w:rsid w:val="00BD4D61"/>
    <w:rsid w:val="00BD66A4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383A"/>
    <w:rsid w:val="00C86630"/>
    <w:rsid w:val="00C91E25"/>
    <w:rsid w:val="00CB1546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44B4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4D86"/>
    <w:rsid w:val="00F661EB"/>
    <w:rsid w:val="00F72E3A"/>
    <w:rsid w:val="00F7586A"/>
    <w:rsid w:val="00F80278"/>
    <w:rsid w:val="00F8231B"/>
    <w:rsid w:val="00F86260"/>
    <w:rsid w:val="00F90286"/>
    <w:rsid w:val="00F903CF"/>
    <w:rsid w:val="00F91D11"/>
    <w:rsid w:val="00F94AB8"/>
    <w:rsid w:val="00FA5DB2"/>
    <w:rsid w:val="00FB24AB"/>
    <w:rsid w:val="00FB3D8D"/>
    <w:rsid w:val="00FC232F"/>
    <w:rsid w:val="00FC3708"/>
    <w:rsid w:val="00FC4DE8"/>
    <w:rsid w:val="00FD7ED7"/>
    <w:rsid w:val="00FE4D7E"/>
    <w:rsid w:val="00FF18F8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Nevyrieenzmienka">
    <w:name w:val="Unresolved Mention"/>
    <w:basedOn w:val="Predvolenpsmoodseku"/>
    <w:uiPriority w:val="99"/>
    <w:semiHidden/>
    <w:unhideWhenUsed/>
    <w:rsid w:val="004845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document/isbn/978805552949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91413"/>
    <w:rsid w:val="003A1CAA"/>
    <w:rsid w:val="003B2A20"/>
    <w:rsid w:val="003C7048"/>
    <w:rsid w:val="00405088"/>
    <w:rsid w:val="00447CBB"/>
    <w:rsid w:val="004D0273"/>
    <w:rsid w:val="00534ACC"/>
    <w:rsid w:val="00586C49"/>
    <w:rsid w:val="005D5BB3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E549C"/>
    <w:rsid w:val="008F4911"/>
    <w:rsid w:val="00905B80"/>
    <w:rsid w:val="00927E0A"/>
    <w:rsid w:val="009554F5"/>
    <w:rsid w:val="00966CAC"/>
    <w:rsid w:val="00970201"/>
    <w:rsid w:val="009A2AF8"/>
    <w:rsid w:val="009B29E8"/>
    <w:rsid w:val="009C49F0"/>
    <w:rsid w:val="009E0B75"/>
    <w:rsid w:val="00A000E0"/>
    <w:rsid w:val="00B13EEA"/>
    <w:rsid w:val="00BC4CBE"/>
    <w:rsid w:val="00C02A7B"/>
    <w:rsid w:val="00CE706C"/>
    <w:rsid w:val="00D72BD1"/>
    <w:rsid w:val="00DA00B0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